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 w:before="100"/>
        <w:jc w:val="center"/>
      </w:pPr>
      <w:r>
        <w:rPr>
          <w:rFonts w:ascii="Arial" w:cs="Arial" w:eastAsia="Arial" w:hAnsi="Arial"/>
          <w:b/>
          <w:bCs/>
          <w:color w:val="1F3864"/>
          <w:sz w:val="38"/>
          <w:szCs w:val="38"/>
        </w:rPr>
        <w:t xml:space="preserve">ULTRA4NEXT</w:t>
      </w:r>
    </w:p>
    <w:p>
      <w:pPr>
        <w:spacing w:after="50"/>
        <w:jc w:val="center"/>
      </w:pPr>
      <w:r>
        <w:rPr>
          <w:rFonts w:ascii="Arial" w:cs="Arial" w:eastAsia="Arial" w:hAnsi="Arial"/>
          <w:b/>
          <w:bCs/>
          <w:sz w:val="30"/>
          <w:szCs w:val="30"/>
        </w:rPr>
        <w:t xml:space="preserve">Partner School Packet</w:t>
      </w:r>
    </w:p>
    <w:p>
      <w:pPr>
        <w:spacing w:after="70"/>
        <w:jc w:val="center"/>
      </w:pPr>
      <w:r>
        <w:rPr>
          <w:rFonts w:ascii="Arial" w:cs="Arial" w:eastAsia="Arial" w:hAnsi="Arial"/>
          <w:i/>
          <w:iCs/>
          <w:color w:val="595959"/>
          <w:sz w:val="22"/>
          <w:szCs w:val="22"/>
        </w:rPr>
        <w:t xml:space="preserve">What Ultra4Next is, what your school gets, and what it takes to join</w:t>
      </w:r>
    </w:p>
    <w:p>
      <w:pPr>
        <w:spacing w:after="260"/>
        <w:jc w:val="center"/>
      </w:pPr>
      <w:r>
        <w:rPr>
          <w:rFonts w:ascii="Arial" w:cs="Arial" w:eastAsia="Arial" w:hAnsi="Arial"/>
          <w:color w:val="595959"/>
          <w:sz w:val="18"/>
          <w:szCs w:val="18"/>
        </w:rPr>
        <w:t xml:space="preserve">Ultra4Next  ·  An affiliate of the Basin Wide Foundation, a 501(c)(3) public charity (EIN 33-0688147)</w:t>
      </w:r>
    </w:p>
    <w:p>
      <w:pPr>
        <w:pStyle w:val="Heading1"/>
        <w:spacing w:after="150" w:before="300"/>
      </w:pPr>
      <w:r>
        <w:rPr>
          <w:rFonts w:ascii="Arial" w:cs="Arial" w:eastAsia="Arial" w:hAnsi="Arial"/>
          <w:b/>
          <w:bCs/>
          <w:color w:val="1F3864"/>
          <w:sz w:val="28"/>
          <w:szCs w:val="28"/>
        </w:rPr>
        <w:t xml:space="preserve">What Ultra4Next is</w:t>
      </w:r>
    </w:p>
    <w:p>
      <w:pPr>
        <w:spacing w:after="150" w:line="276"/>
      </w:pPr>
      <w:r>
        <w:rPr>
          <w:rFonts w:ascii="Arial" w:cs="Arial" w:eastAsia="Arial" w:hAnsi="Arial"/>
          <w:sz w:val="22"/>
          <w:szCs w:val="22"/>
        </w:rPr>
        <w:t xml:space="preserve">Ultra4Next is a workforce development and career pathway program. We make students employable by teaching real technical and media skills, then putting those students in front of the employers who hire for them.</w:t>
      </w:r>
    </w:p>
    <w:p>
      <w:pPr>
        <w:spacing w:after="150" w:line="276"/>
      </w:pPr>
      <w:r>
        <w:rPr>
          <w:rFonts w:ascii="Arial" w:cs="Arial" w:eastAsia="Arial" w:hAnsi="Arial"/>
          <w:sz w:val="22"/>
          <w:szCs w:val="22"/>
        </w:rPr>
        <w:t xml:space="preserve">We are built on the Ultra4 Racing and King of the Hammers community in Johnson Valley, California — an industry full of fabricators, machinists, engineers, and media professionals who are actively short of skilled people. Students work at the KOH Lab, tour working factories, and meet the people who do these jobs.</w:t>
      </w:r>
    </w:p>
    <w:p>
      <w:pPr>
        <w:spacing w:after="150" w:line="276"/>
      </w:pPr>
      <w:r>
        <w:rPr>
          <w:rFonts w:ascii="Arial" w:cs="Arial" w:eastAsia="Arial" w:hAnsi="Arial"/>
          <w:sz w:val="22"/>
          <w:szCs w:val="22"/>
        </w:rPr>
        <w:t xml:space="preserve">Proof it works: Silver Valley High School students built a Class 11 car, took it to King of the Hammers in February 2026, started last, and finished 9th in class.</w:t>
      </w:r>
    </w:p>
    <w:p>
      <w:pPr>
        <w:pStyle w:val="Heading1"/>
        <w:spacing w:after="150" w:before="300"/>
      </w:pPr>
      <w:r>
        <w:rPr>
          <w:rFonts w:ascii="Arial" w:cs="Arial" w:eastAsia="Arial" w:hAnsi="Arial"/>
          <w:b/>
          <w:bCs/>
          <w:color w:val="1F3864"/>
          <w:sz w:val="28"/>
          <w:szCs w:val="28"/>
        </w:rPr>
        <w:t xml:space="preserve">What your school gets</w:t>
      </w:r>
    </w:p>
    <w:p>
      <w:pPr>
        <w:pStyle w:val="ListParagraph"/>
        <w:numPr>
          <w:ilvl w:val="0"/>
          <w:numId w:val="2"/>
        </w:numPr>
        <w:spacing w:after="90" w:line="276"/>
      </w:pPr>
      <w:r>
        <w:rPr>
          <w:rFonts w:ascii="Arial" w:cs="Arial" w:eastAsia="Arial" w:hAnsi="Arial"/>
          <w:b/>
          <w:bCs/>
          <w:sz w:val="22"/>
          <w:szCs w:val="22"/>
        </w:rPr>
        <w:t xml:space="preserve">Monthly Lab days.</w:t>
      </w:r>
      <w:r>
        <w:rPr>
          <w:rFonts w:ascii="Arial" w:cs="Arial" w:eastAsia="Arial" w:hAnsi="Arial"/>
          <w:sz w:val="22"/>
          <w:szCs w:val="22"/>
        </w:rPr>
        <w:t xml:space="preserve"> Students spend the day at the KOH Lab in Johnson Valley doing hands-on fabrication, automotive, and build work alongside industry mentors.</w:t>
      </w:r>
    </w:p>
    <w:p>
      <w:pPr>
        <w:pStyle w:val="ListParagraph"/>
        <w:numPr>
          <w:ilvl w:val="0"/>
          <w:numId w:val="2"/>
        </w:numPr>
        <w:spacing w:after="90" w:line="276"/>
      </w:pPr>
      <w:r>
        <w:rPr>
          <w:rFonts w:ascii="Arial" w:cs="Arial" w:eastAsia="Arial" w:hAnsi="Arial"/>
          <w:b/>
          <w:bCs/>
          <w:sz w:val="22"/>
          <w:szCs w:val="22"/>
        </w:rPr>
        <w:t xml:space="preserve">Factory and facility tours.</w:t>
      </w:r>
      <w:r>
        <w:rPr>
          <w:rFonts w:ascii="Arial" w:cs="Arial" w:eastAsia="Arial" w:hAnsi="Arial"/>
          <w:sz w:val="22"/>
          <w:szCs w:val="22"/>
        </w:rPr>
        <w:t xml:space="preserve"> Behind-the-scenes access to manufacturers and studios that do not run public tours — race parts makers, fabrication shops, and creative studios.</w:t>
      </w:r>
    </w:p>
    <w:p>
      <w:pPr>
        <w:pStyle w:val="ListParagraph"/>
        <w:numPr>
          <w:ilvl w:val="0"/>
          <w:numId w:val="2"/>
        </w:numPr>
        <w:spacing w:after="90" w:line="276"/>
      </w:pPr>
      <w:r>
        <w:rPr>
          <w:rFonts w:ascii="Arial" w:cs="Arial" w:eastAsia="Arial" w:hAnsi="Arial"/>
          <w:b/>
          <w:bCs/>
          <w:sz w:val="22"/>
          <w:szCs w:val="22"/>
        </w:rPr>
        <w:t xml:space="preserve">Direct employer contact.</w:t>
      </w:r>
      <w:r>
        <w:rPr>
          <w:rFonts w:ascii="Arial" w:cs="Arial" w:eastAsia="Arial" w:hAnsi="Arial"/>
          <w:sz w:val="22"/>
          <w:szCs w:val="22"/>
        </w:rPr>
        <w:t xml:space="preserve"> Students meet working professionals who explain how they got their jobs, what they earn, and what they look for when hiring.</w:t>
      </w:r>
    </w:p>
    <w:p>
      <w:pPr>
        <w:pStyle w:val="ListParagraph"/>
        <w:numPr>
          <w:ilvl w:val="0"/>
          <w:numId w:val="2"/>
        </w:numPr>
        <w:spacing w:after="90" w:line="276"/>
      </w:pPr>
      <w:r>
        <w:rPr>
          <w:rFonts w:ascii="Arial" w:cs="Arial" w:eastAsia="Arial" w:hAnsi="Arial"/>
          <w:b/>
          <w:bCs/>
          <w:sz w:val="22"/>
          <w:szCs w:val="22"/>
        </w:rPr>
        <w:t xml:space="preserve">Media production opportunities.</w:t>
      </w:r>
      <w:r>
        <w:rPr>
          <w:rFonts w:ascii="Arial" w:cs="Arial" w:eastAsia="Arial" w:hAnsi="Arial"/>
          <w:sz w:val="22"/>
          <w:szCs w:val="22"/>
        </w:rPr>
        <w:t xml:space="preserve"> Video, photo, and journalism students cover every trip with real assignments and a published result — not a classroom exercise.</w:t>
      </w:r>
    </w:p>
    <w:p>
      <w:pPr>
        <w:pStyle w:val="ListParagraph"/>
        <w:numPr>
          <w:ilvl w:val="0"/>
          <w:numId w:val="2"/>
        </w:numPr>
        <w:spacing w:after="90" w:line="276"/>
      </w:pPr>
      <w:r>
        <w:rPr>
          <w:rFonts w:ascii="Arial" w:cs="Arial" w:eastAsia="Arial" w:hAnsi="Arial"/>
          <w:b/>
          <w:bCs/>
          <w:sz w:val="22"/>
          <w:szCs w:val="22"/>
        </w:rPr>
        <w:t xml:space="preserve">Race-week experience.</w:t>
      </w:r>
      <w:r>
        <w:rPr>
          <w:rFonts w:ascii="Arial" w:cs="Arial" w:eastAsia="Arial" w:hAnsi="Arial"/>
          <w:sz w:val="22"/>
          <w:szCs w:val="22"/>
        </w:rPr>
        <w:t xml:space="preserve"> Students who want to work a race can serve on pit and service crews at King of the Hammers.</w:t>
      </w:r>
    </w:p>
    <w:p>
      <w:pPr>
        <w:pStyle w:val="ListParagraph"/>
        <w:numPr>
          <w:ilvl w:val="0"/>
          <w:numId w:val="2"/>
        </w:numPr>
        <w:spacing w:after="90" w:line="276"/>
      </w:pPr>
      <w:r>
        <w:rPr>
          <w:rFonts w:ascii="Arial" w:cs="Arial" w:eastAsia="Arial" w:hAnsi="Arial"/>
          <w:b/>
          <w:bCs/>
          <w:sz w:val="22"/>
          <w:szCs w:val="22"/>
        </w:rPr>
        <w:t xml:space="preserve">A portfolio.</w:t>
      </w:r>
      <w:r>
        <w:rPr>
          <w:rFonts w:ascii="Arial" w:cs="Arial" w:eastAsia="Arial" w:hAnsi="Arial"/>
          <w:sz w:val="22"/>
          <w:szCs w:val="22"/>
        </w:rPr>
        <w:t xml:space="preserve"> Students leave with documented work — articles, video, photos, and build experience they can show an employer or put on an application.</w:t>
      </w:r>
    </w:p>
    <w:p>
      <w:pPr>
        <w:pStyle w:val="Heading1"/>
        <w:pageBreakBefore/>
        <w:spacing w:after="150" w:before="300"/>
      </w:pPr>
      <w:r>
        <w:rPr>
          <w:rFonts w:ascii="Arial" w:cs="Arial" w:eastAsia="Arial" w:hAnsi="Arial"/>
          <w:b/>
          <w:bCs/>
          <w:color w:val="1F3864"/>
          <w:sz w:val="28"/>
          <w:szCs w:val="28"/>
        </w:rPr>
        <w:t xml:space="preserve">What your school commits to</w:t>
      </w:r>
    </w:p>
    <w:p>
      <w:pPr>
        <w:pStyle w:val="ListParagraph"/>
        <w:numPr>
          <w:ilvl w:val="0"/>
          <w:numId w:val="2"/>
        </w:numPr>
        <w:spacing w:after="90" w:line="276"/>
      </w:pPr>
      <w:r>
        <w:rPr>
          <w:rFonts w:ascii="Arial" w:cs="Arial" w:eastAsia="Arial" w:hAnsi="Arial"/>
          <w:b/>
          <w:bCs/>
          <w:sz w:val="22"/>
          <w:szCs w:val="22"/>
        </w:rPr>
        <w:t xml:space="preserve">A named instructor.</w:t>
      </w:r>
      <w:r>
        <w:rPr>
          <w:rFonts w:ascii="Arial" w:cs="Arial" w:eastAsia="Arial" w:hAnsi="Arial"/>
          <w:sz w:val="22"/>
          <w:szCs w:val="22"/>
        </w:rPr>
        <w:t xml:space="preserve"> One instructor who is the point of contact, proposes and accepts dates in the scheduling portal, and travels with students.</w:t>
      </w:r>
    </w:p>
    <w:p>
      <w:pPr>
        <w:pStyle w:val="ListParagraph"/>
        <w:numPr>
          <w:ilvl w:val="0"/>
          <w:numId w:val="2"/>
        </w:numPr>
        <w:spacing w:after="90" w:line="276"/>
      </w:pPr>
      <w:r>
        <w:rPr>
          <w:rFonts w:ascii="Arial" w:cs="Arial" w:eastAsia="Arial" w:hAnsi="Arial"/>
          <w:b/>
          <w:bCs/>
          <w:sz w:val="22"/>
          <w:szCs w:val="22"/>
        </w:rPr>
        <w:t xml:space="preserve">A group of students.</w:t>
      </w:r>
      <w:r>
        <w:rPr>
          <w:rFonts w:ascii="Arial" w:cs="Arial" w:eastAsia="Arial" w:hAnsi="Arial"/>
          <w:sz w:val="22"/>
          <w:szCs w:val="22"/>
        </w:rPr>
        <w:t xml:space="preserve"> Most partner schools send 6 to 15 students per trip. Smaller groups are fine.</w:t>
      </w:r>
    </w:p>
    <w:p>
      <w:pPr>
        <w:pStyle w:val="ListParagraph"/>
        <w:numPr>
          <w:ilvl w:val="0"/>
          <w:numId w:val="2"/>
        </w:numPr>
        <w:spacing w:after="90" w:line="276"/>
      </w:pPr>
      <w:r>
        <w:rPr>
          <w:rFonts w:ascii="Arial" w:cs="Arial" w:eastAsia="Arial" w:hAnsi="Arial"/>
          <w:b/>
          <w:bCs/>
          <w:sz w:val="22"/>
          <w:szCs w:val="22"/>
        </w:rPr>
        <w:t xml:space="preserve">Transportation and permissions.</w:t>
      </w:r>
      <w:r>
        <w:rPr>
          <w:rFonts w:ascii="Arial" w:cs="Arial" w:eastAsia="Arial" w:hAnsi="Arial"/>
          <w:sz w:val="22"/>
          <w:szCs w:val="22"/>
        </w:rPr>
        <w:t xml:space="preserve"> Schools handle their own buses or vans, and their own field-trip and permission paperwork under district policy.</w:t>
      </w:r>
    </w:p>
    <w:p>
      <w:pPr>
        <w:pStyle w:val="ListParagraph"/>
        <w:numPr>
          <w:ilvl w:val="0"/>
          <w:numId w:val="2"/>
        </w:numPr>
        <w:spacing w:after="90" w:line="276"/>
      </w:pPr>
      <w:r>
        <w:rPr>
          <w:rFonts w:ascii="Arial" w:cs="Arial" w:eastAsia="Arial" w:hAnsi="Arial"/>
          <w:b/>
          <w:bCs/>
          <w:sz w:val="22"/>
          <w:szCs w:val="22"/>
        </w:rPr>
        <w:t xml:space="preserve">Safety basics.</w:t>
      </w:r>
      <w:r>
        <w:rPr>
          <w:rFonts w:ascii="Arial" w:cs="Arial" w:eastAsia="Arial" w:hAnsi="Arial"/>
          <w:sz w:val="22"/>
          <w:szCs w:val="22"/>
        </w:rPr>
        <w:t xml:space="preserve"> Students must wear closed-toe boots or work shoes at every facility. Safety glasses are required in shop areas. Schools are responsible for their students’ conduct on site.</w:t>
      </w:r>
    </w:p>
    <w:p>
      <w:pPr>
        <w:pStyle w:val="ListParagraph"/>
        <w:numPr>
          <w:ilvl w:val="0"/>
          <w:numId w:val="2"/>
        </w:numPr>
        <w:spacing w:after="90" w:line="276"/>
      </w:pPr>
      <w:r>
        <w:rPr>
          <w:rFonts w:ascii="Arial" w:cs="Arial" w:eastAsia="Arial" w:hAnsi="Arial"/>
          <w:b/>
          <w:bCs/>
          <w:sz w:val="22"/>
          <w:szCs w:val="22"/>
        </w:rPr>
        <w:t xml:space="preserve">Student selection.</w:t>
      </w:r>
      <w:r>
        <w:rPr>
          <w:rFonts w:ascii="Arial" w:cs="Arial" w:eastAsia="Arial" w:hAnsi="Arial"/>
          <w:sz w:val="22"/>
          <w:szCs w:val="22"/>
        </w:rPr>
        <w:t xml:space="preserve"> Select students using the Ultra4Next Student Interest Packet, or your own equivalent, so seats go to students who genuinely want them.</w:t>
      </w:r>
    </w:p>
    <w:p>
      <w:pPr>
        <w:spacing w:after="150" w:before="70"/>
      </w:pPr>
      <w:r>
        <w:rPr>
          <w:rFonts w:ascii="Arial" w:cs="Arial" w:eastAsia="Arial" w:hAnsi="Arial"/>
          <w:i/>
          <w:iCs/>
          <w:color w:val="595959"/>
          <w:sz w:val="18"/>
          <w:szCs w:val="18"/>
        </w:rPr>
        <w:t xml:space="preserve">Ultra4Next does not collect or store student records. Schools keep completed student packets; we only need the roster of who is attending.</w:t>
      </w:r>
    </w:p>
    <w:p>
      <w:pPr>
        <w:pStyle w:val="Heading1"/>
        <w:spacing w:after="150" w:before="300"/>
      </w:pPr>
      <w:r>
        <w:rPr>
          <w:rFonts w:ascii="Arial" w:cs="Arial" w:eastAsia="Arial" w:hAnsi="Arial"/>
          <w:b/>
          <w:bCs/>
          <w:color w:val="1F3864"/>
          <w:sz w:val="28"/>
          <w:szCs w:val="28"/>
        </w:rPr>
        <w:t xml:space="preserve">How scheduling works</w:t>
      </w:r>
    </w:p>
    <w:p>
      <w:pPr>
        <w:spacing w:after="150" w:line="276"/>
      </w:pPr>
      <w:r>
        <w:rPr>
          <w:rFonts w:ascii="Arial" w:cs="Arial" w:eastAsia="Arial" w:hAnsi="Arial"/>
          <w:sz w:val="22"/>
          <w:szCs w:val="22"/>
        </w:rPr>
        <w:t xml:space="preserve">Everything runs through a private scheduling portal at ultra4next.net. Your instructor gets an access code and can see every date at a glance.</w:t>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2600"/>
        <w:gridCol w:w="5200"/>
      </w:tblGrid>
      <w:tr>
        <w:trPr>
          <w:tblHeader/>
        </w:trPr>
        <w:tc>
          <w:tcPr>
            <w:tcW w:type="dxa" w:w="26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Step</w:t>
            </w:r>
          </w:p>
        </w:tc>
        <w:tc>
          <w:tcPr>
            <w:tcW w:type="dxa" w:w="52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What happens</w:t>
            </w:r>
          </w:p>
        </w:tc>
      </w:tr>
      <w:tr>
        <w:tc>
          <w:tcPr>
            <w:tcW w:type="dxa" w:w="2600"/>
            <w:tcMar>
              <w:top w:type="dxa" w:w="70"/>
              <w:left w:type="dxa" w:w="110"/>
              <w:bottom w:type="dxa" w:w="70"/>
              <w:right w:type="dxa" w:w="110"/>
            </w:tcMar>
          </w:tcPr>
          <w:p>
            <w:pPr>
              <w:jc w:val="left"/>
            </w:pPr>
            <w:r>
              <w:rPr>
                <w:rFonts w:ascii="Arial" w:cs="Arial" w:eastAsia="Arial" w:hAnsi="Arial"/>
                <w:sz w:val="20"/>
                <w:szCs w:val="20"/>
              </w:rPr>
              <w:t xml:space="preserve">1. A date is proposed</w:t>
            </w:r>
          </w:p>
        </w:tc>
        <w:tc>
          <w:tcPr>
            <w:tcW w:type="dxa" w:w="5200"/>
            <w:tcMar>
              <w:top w:type="dxa" w:w="70"/>
              <w:left w:type="dxa" w:w="110"/>
              <w:bottom w:type="dxa" w:w="70"/>
              <w:right w:type="dxa" w:w="110"/>
            </w:tcMar>
          </w:tcPr>
          <w:p>
            <w:pPr>
              <w:jc w:val="left"/>
            </w:pPr>
            <w:r>
              <w:rPr>
                <w:rFonts w:ascii="Arial" w:cs="Arial" w:eastAsia="Arial" w:hAnsi="Arial"/>
                <w:sz w:val="20"/>
                <w:szCs w:val="20"/>
              </w:rPr>
              <w:t xml:space="preserve">Ultra4Next posts a date, or your instructor proposes one</w:t>
            </w:r>
          </w:p>
        </w:tc>
      </w:tr>
      <w:tr>
        <w:tc>
          <w:tcPr>
            <w:tcW w:type="dxa" w:w="2600"/>
            <w:shd w:fill="F2F2F2" w:val="clear"/>
            <w:tcMar>
              <w:top w:type="dxa" w:w="70"/>
              <w:left w:type="dxa" w:w="110"/>
              <w:bottom w:type="dxa" w:w="70"/>
              <w:right w:type="dxa" w:w="110"/>
            </w:tcMar>
          </w:tcPr>
          <w:p>
            <w:pPr>
              <w:jc w:val="left"/>
            </w:pPr>
            <w:r>
              <w:rPr>
                <w:rFonts w:ascii="Arial" w:cs="Arial" w:eastAsia="Arial" w:hAnsi="Arial"/>
                <w:sz w:val="20"/>
                <w:szCs w:val="20"/>
              </w:rPr>
              <w:t xml:space="preserve">2. Ultra4Next reviews</w:t>
            </w:r>
          </w:p>
        </w:tc>
        <w:tc>
          <w:tcPr>
            <w:tcW w:type="dxa" w:w="5200"/>
            <w:shd w:fill="F2F2F2" w:val="clear"/>
            <w:tcMar>
              <w:top w:type="dxa" w:w="70"/>
              <w:left w:type="dxa" w:w="110"/>
              <w:bottom w:type="dxa" w:w="70"/>
              <w:right w:type="dxa" w:w="110"/>
            </w:tcMar>
          </w:tcPr>
          <w:p>
            <w:pPr>
              <w:jc w:val="left"/>
            </w:pPr>
            <w:r>
              <w:rPr>
                <w:rFonts w:ascii="Arial" w:cs="Arial" w:eastAsia="Arial" w:hAnsi="Arial"/>
                <w:sz w:val="20"/>
                <w:szCs w:val="20"/>
              </w:rPr>
              <w:t xml:space="preserve">Staff approve dates proposed by schools</w:t>
            </w:r>
          </w:p>
        </w:tc>
      </w:tr>
      <w:tr>
        <w:tc>
          <w:tcPr>
            <w:tcW w:type="dxa" w:w="2600"/>
            <w:tcMar>
              <w:top w:type="dxa" w:w="70"/>
              <w:left w:type="dxa" w:w="110"/>
              <w:bottom w:type="dxa" w:w="70"/>
              <w:right w:type="dxa" w:w="110"/>
            </w:tcMar>
          </w:tcPr>
          <w:p>
            <w:pPr>
              <w:jc w:val="left"/>
            </w:pPr>
            <w:r>
              <w:rPr>
                <w:rFonts w:ascii="Arial" w:cs="Arial" w:eastAsia="Arial" w:hAnsi="Arial"/>
                <w:sz w:val="20"/>
                <w:szCs w:val="20"/>
              </w:rPr>
              <w:t xml:space="preserve">3. The location host confirms</w:t>
            </w:r>
          </w:p>
        </w:tc>
        <w:tc>
          <w:tcPr>
            <w:tcW w:type="dxa" w:w="5200"/>
            <w:tcMar>
              <w:top w:type="dxa" w:w="70"/>
              <w:left w:type="dxa" w:w="110"/>
              <w:bottom w:type="dxa" w:w="70"/>
              <w:right w:type="dxa" w:w="110"/>
            </w:tcMar>
          </w:tcPr>
          <w:p>
            <w:pPr>
              <w:jc w:val="left"/>
            </w:pPr>
            <w:r>
              <w:rPr>
                <w:rFonts w:ascii="Arial" w:cs="Arial" w:eastAsia="Arial" w:hAnsi="Arial"/>
                <w:sz w:val="20"/>
                <w:szCs w:val="20"/>
              </w:rPr>
              <w:t xml:space="preserve">The Lab host or the company confirms the site is available that day</w:t>
            </w:r>
          </w:p>
        </w:tc>
      </w:tr>
      <w:tr>
        <w:tc>
          <w:tcPr>
            <w:tcW w:type="dxa" w:w="2600"/>
            <w:shd w:fill="F2F2F2" w:val="clear"/>
            <w:tcMar>
              <w:top w:type="dxa" w:w="70"/>
              <w:left w:type="dxa" w:w="110"/>
              <w:bottom w:type="dxa" w:w="70"/>
              <w:right w:type="dxa" w:w="110"/>
            </w:tcMar>
          </w:tcPr>
          <w:p>
            <w:pPr>
              <w:jc w:val="left"/>
            </w:pPr>
            <w:r>
              <w:rPr>
                <w:rFonts w:ascii="Arial" w:cs="Arial" w:eastAsia="Arial" w:hAnsi="Arial"/>
                <w:sz w:val="20"/>
                <w:szCs w:val="20"/>
              </w:rPr>
              <w:t xml:space="preserve">4. Schools respond</w:t>
            </w:r>
          </w:p>
        </w:tc>
        <w:tc>
          <w:tcPr>
            <w:tcW w:type="dxa" w:w="5200"/>
            <w:shd w:fill="F2F2F2" w:val="clear"/>
            <w:tcMar>
              <w:top w:type="dxa" w:w="70"/>
              <w:left w:type="dxa" w:w="110"/>
              <w:bottom w:type="dxa" w:w="70"/>
              <w:right w:type="dxa" w:w="110"/>
            </w:tcMar>
          </w:tcPr>
          <w:p>
            <w:pPr>
              <w:jc w:val="left"/>
            </w:pPr>
            <w:r>
              <w:rPr>
                <w:rFonts w:ascii="Arial" w:cs="Arial" w:eastAsia="Arial" w:hAnsi="Arial"/>
                <w:sz w:val="20"/>
                <w:szCs w:val="20"/>
              </w:rPr>
              <w:t xml:space="preserve">Instructors accept or decline for their school</w:t>
            </w:r>
          </w:p>
        </w:tc>
      </w:tr>
      <w:tr>
        <w:tc>
          <w:tcPr>
            <w:tcW w:type="dxa" w:w="2600"/>
            <w:tcMar>
              <w:top w:type="dxa" w:w="70"/>
              <w:left w:type="dxa" w:w="110"/>
              <w:bottom w:type="dxa" w:w="70"/>
              <w:right w:type="dxa" w:w="110"/>
            </w:tcMar>
          </w:tcPr>
          <w:p>
            <w:pPr>
              <w:jc w:val="left"/>
            </w:pPr>
            <w:r>
              <w:rPr>
                <w:rFonts w:ascii="Arial" w:cs="Arial" w:eastAsia="Arial" w:hAnsi="Arial"/>
                <w:sz w:val="20"/>
                <w:szCs w:val="20"/>
              </w:rPr>
              <w:t xml:space="preserve">5. It is confirmed</w:t>
            </w:r>
          </w:p>
        </w:tc>
        <w:tc>
          <w:tcPr>
            <w:tcW w:type="dxa" w:w="5200"/>
            <w:tcMar>
              <w:top w:type="dxa" w:w="70"/>
              <w:left w:type="dxa" w:w="110"/>
              <w:bottom w:type="dxa" w:w="70"/>
              <w:right w:type="dxa" w:w="110"/>
            </w:tcMar>
          </w:tcPr>
          <w:p>
            <w:pPr>
              <w:jc w:val="left"/>
            </w:pPr>
            <w:r>
              <w:rPr>
                <w:rFonts w:ascii="Arial" w:cs="Arial" w:eastAsia="Arial" w:hAnsi="Arial"/>
                <w:sz w:val="20"/>
                <w:szCs w:val="20"/>
              </w:rPr>
              <w:t xml:space="preserve">The first school to accept confirms the event; other schools can still join</w:t>
            </w:r>
          </w:p>
        </w:tc>
      </w:tr>
    </w:tbl>
    <w:p>
      <w:pPr>
        <w:spacing w:after="150" w:line="276"/>
      </w:pPr>
      <w:r>
        <w:rPr>
          <w:rFonts w:ascii="Arial" w:cs="Arial" w:eastAsia="Arial" w:hAnsi="Arial"/>
          <w:sz w:val="22"/>
          <w:szCs w:val="22"/>
        </w:rPr>
        <w:t xml:space="preserve">The portal also has a message board where schools, staff, and company hosts coordinate in one place instead of scattered email threads.</w:t>
      </w:r>
    </w:p>
    <w:p>
      <w:pPr>
        <w:pStyle w:val="Heading1"/>
        <w:spacing w:after="150" w:before="300"/>
      </w:pPr>
      <w:r>
        <w:rPr>
          <w:rFonts w:ascii="Arial" w:cs="Arial" w:eastAsia="Arial" w:hAnsi="Arial"/>
          <w:b/>
          <w:bCs/>
          <w:color w:val="1F3864"/>
          <w:sz w:val="28"/>
          <w:szCs w:val="28"/>
        </w:rPr>
        <w:t xml:space="preserve">Cost, and who covers it</w:t>
      </w:r>
    </w:p>
    <w:p>
      <w:pPr>
        <w:spacing w:after="150" w:line="276"/>
      </w:pPr>
      <w:r>
        <w:rPr>
          <w:rFonts w:ascii="Arial" w:cs="Arial" w:eastAsia="Arial" w:hAnsi="Arial"/>
          <w:sz w:val="22"/>
          <w:szCs w:val="22"/>
        </w:rPr>
        <w:t xml:space="preserve">There is no fee for a school to participate. For each trip we look for a company sponsor to cover the students’ expenses — transportation, meals, and safety gear — so that a school’s budget never decides which students get to come.</w:t>
      </w:r>
    </w:p>
    <w:p>
      <w:pPr>
        <w:spacing w:after="150" w:line="276"/>
      </w:pPr>
      <w:r>
        <w:rPr>
          <w:rFonts w:ascii="Arial" w:cs="Arial" w:eastAsia="Arial" w:hAnsi="Arial"/>
          <w:sz w:val="22"/>
          <w:szCs w:val="22"/>
        </w:rPr>
        <w:t xml:space="preserve">If a trip does not have a sponsor yet, tell us rather than turning down the date. We would rather go find a sponsor than have your students miss it.</w:t>
      </w:r>
    </w:p>
    <w:p>
      <w:pPr>
        <w:spacing w:after="150" w:before="70"/>
      </w:pPr>
      <w:r>
        <w:rPr>
          <w:rFonts w:ascii="Arial" w:cs="Arial" w:eastAsia="Arial" w:hAnsi="Arial"/>
          <w:i/>
          <w:iCs/>
          <w:color w:val="595959"/>
          <w:sz w:val="18"/>
          <w:szCs w:val="18"/>
        </w:rPr>
        <w:t xml:space="preserve">Companies that want to sponsor a trip can email Alex@Ultra4Next.org, or use the “Sponsor this student trip” button on any tour at ultra4next.net.</w:t>
      </w:r>
    </w:p>
    <w:p>
      <w:pPr>
        <w:pStyle w:val="Heading1"/>
        <w:spacing w:after="150" w:before="300"/>
      </w:pPr>
      <w:r>
        <w:rPr>
          <w:rFonts w:ascii="Arial" w:cs="Arial" w:eastAsia="Arial" w:hAnsi="Arial"/>
          <w:b/>
          <w:bCs/>
          <w:color w:val="1F3864"/>
          <w:sz w:val="28"/>
          <w:szCs w:val="28"/>
        </w:rPr>
        <w:t xml:space="preserve">Current partner schools</w:t>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4400"/>
        <w:gridCol w:w="3400"/>
      </w:tblGrid>
      <w:tr>
        <w:trPr>
          <w:tblHeader/>
        </w:trPr>
        <w:tc>
          <w:tcPr>
            <w:tcW w:type="dxa" w:w="44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School</w:t>
            </w:r>
          </w:p>
        </w:tc>
        <w:tc>
          <w:tcPr>
            <w:tcW w:type="dxa" w:w="34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Location</w:t>
            </w:r>
          </w:p>
        </w:tc>
      </w:tr>
      <w:tr>
        <w:tc>
          <w:tcPr>
            <w:tcW w:type="dxa" w:w="4400"/>
            <w:tcMar>
              <w:top w:type="dxa" w:w="70"/>
              <w:left w:type="dxa" w:w="110"/>
              <w:bottom w:type="dxa" w:w="70"/>
              <w:right w:type="dxa" w:w="110"/>
            </w:tcMar>
          </w:tcPr>
          <w:p>
            <w:pPr>
              <w:jc w:val="left"/>
            </w:pPr>
            <w:r>
              <w:rPr>
                <w:rFonts w:ascii="Arial" w:cs="Arial" w:eastAsia="Arial" w:hAnsi="Arial"/>
                <w:sz w:val="20"/>
                <w:szCs w:val="20"/>
              </w:rPr>
              <w:t xml:space="preserve">Silver Valley High School</w:t>
            </w:r>
          </w:p>
        </w:tc>
        <w:tc>
          <w:tcPr>
            <w:tcW w:type="dxa" w:w="3400"/>
            <w:tcMar>
              <w:top w:type="dxa" w:w="70"/>
              <w:left w:type="dxa" w:w="110"/>
              <w:bottom w:type="dxa" w:w="70"/>
              <w:right w:type="dxa" w:w="110"/>
            </w:tcMar>
          </w:tcPr>
          <w:p>
            <w:pPr>
              <w:jc w:val="left"/>
            </w:pPr>
            <w:r>
              <w:rPr>
                <w:rFonts w:ascii="Arial" w:cs="Arial" w:eastAsia="Arial" w:hAnsi="Arial"/>
                <w:sz w:val="20"/>
                <w:szCs w:val="20"/>
              </w:rPr>
              <w:t xml:space="preserve">Yermo</w:t>
            </w:r>
          </w:p>
        </w:tc>
      </w:tr>
      <w:tr>
        <w:tc>
          <w:tcPr>
            <w:tcW w:type="dxa" w:w="4400"/>
            <w:shd w:fill="F2F2F2" w:val="clear"/>
            <w:tcMar>
              <w:top w:type="dxa" w:w="70"/>
              <w:left w:type="dxa" w:w="110"/>
              <w:bottom w:type="dxa" w:w="70"/>
              <w:right w:type="dxa" w:w="110"/>
            </w:tcMar>
          </w:tcPr>
          <w:p>
            <w:pPr>
              <w:jc w:val="left"/>
            </w:pPr>
            <w:r>
              <w:rPr>
                <w:rFonts w:ascii="Arial" w:cs="Arial" w:eastAsia="Arial" w:hAnsi="Arial"/>
                <w:sz w:val="20"/>
                <w:szCs w:val="20"/>
              </w:rPr>
              <w:t xml:space="preserve">Hesperia Unified School District</w:t>
            </w:r>
          </w:p>
        </w:tc>
        <w:tc>
          <w:tcPr>
            <w:tcW w:type="dxa" w:w="3400"/>
            <w:shd w:fill="F2F2F2" w:val="clear"/>
            <w:tcMar>
              <w:top w:type="dxa" w:w="70"/>
              <w:left w:type="dxa" w:w="110"/>
              <w:bottom w:type="dxa" w:w="70"/>
              <w:right w:type="dxa" w:w="110"/>
            </w:tcMar>
          </w:tcPr>
          <w:p>
            <w:pPr>
              <w:jc w:val="left"/>
            </w:pPr>
            <w:r>
              <w:rPr>
                <w:rFonts w:ascii="Arial" w:cs="Arial" w:eastAsia="Arial" w:hAnsi="Arial"/>
                <w:sz w:val="20"/>
                <w:szCs w:val="20"/>
              </w:rPr>
              <w:t xml:space="preserve">Hesperia</w:t>
            </w:r>
          </w:p>
        </w:tc>
      </w:tr>
      <w:tr>
        <w:tc>
          <w:tcPr>
            <w:tcW w:type="dxa" w:w="4400"/>
            <w:tcMar>
              <w:top w:type="dxa" w:w="70"/>
              <w:left w:type="dxa" w:w="110"/>
              <w:bottom w:type="dxa" w:w="70"/>
              <w:right w:type="dxa" w:w="110"/>
            </w:tcMar>
          </w:tcPr>
          <w:p>
            <w:pPr>
              <w:jc w:val="left"/>
            </w:pPr>
            <w:r>
              <w:rPr>
                <w:rFonts w:ascii="Arial" w:cs="Arial" w:eastAsia="Arial" w:hAnsi="Arial"/>
                <w:sz w:val="20"/>
                <w:szCs w:val="20"/>
              </w:rPr>
              <w:t xml:space="preserve">Copper Mountain College</w:t>
            </w:r>
          </w:p>
        </w:tc>
        <w:tc>
          <w:tcPr>
            <w:tcW w:type="dxa" w:w="3400"/>
            <w:tcMar>
              <w:top w:type="dxa" w:w="70"/>
              <w:left w:type="dxa" w:w="110"/>
              <w:bottom w:type="dxa" w:w="70"/>
              <w:right w:type="dxa" w:w="110"/>
            </w:tcMar>
          </w:tcPr>
          <w:p>
            <w:pPr>
              <w:jc w:val="left"/>
            </w:pPr>
            <w:r>
              <w:rPr>
                <w:rFonts w:ascii="Arial" w:cs="Arial" w:eastAsia="Arial" w:hAnsi="Arial"/>
                <w:sz w:val="20"/>
                <w:szCs w:val="20"/>
              </w:rPr>
              <w:t xml:space="preserve">Joshua Tree</w:t>
            </w:r>
          </w:p>
        </w:tc>
      </w:tr>
      <w:tr>
        <w:tc>
          <w:tcPr>
            <w:tcW w:type="dxa" w:w="4400"/>
            <w:shd w:fill="F2F2F2" w:val="clear"/>
            <w:tcMar>
              <w:top w:type="dxa" w:w="70"/>
              <w:left w:type="dxa" w:w="110"/>
              <w:bottom w:type="dxa" w:w="70"/>
              <w:right w:type="dxa" w:w="110"/>
            </w:tcMar>
          </w:tcPr>
          <w:p>
            <w:pPr>
              <w:jc w:val="left"/>
            </w:pPr>
            <w:r>
              <w:rPr>
                <w:rFonts w:ascii="Arial" w:cs="Arial" w:eastAsia="Arial" w:hAnsi="Arial"/>
                <w:sz w:val="20"/>
                <w:szCs w:val="20"/>
              </w:rPr>
              <w:t xml:space="preserve">Barstow Community College</w:t>
            </w:r>
          </w:p>
        </w:tc>
        <w:tc>
          <w:tcPr>
            <w:tcW w:type="dxa" w:w="3400"/>
            <w:shd w:fill="F2F2F2" w:val="clear"/>
            <w:tcMar>
              <w:top w:type="dxa" w:w="70"/>
              <w:left w:type="dxa" w:w="110"/>
              <w:bottom w:type="dxa" w:w="70"/>
              <w:right w:type="dxa" w:w="110"/>
            </w:tcMar>
          </w:tcPr>
          <w:p>
            <w:pPr>
              <w:jc w:val="left"/>
            </w:pPr>
            <w:r>
              <w:rPr>
                <w:rFonts w:ascii="Arial" w:cs="Arial" w:eastAsia="Arial" w:hAnsi="Arial"/>
                <w:sz w:val="20"/>
                <w:szCs w:val="20"/>
              </w:rPr>
              <w:t xml:space="preserve">Barstow</w:t>
            </w:r>
          </w:p>
        </w:tc>
      </w:tr>
    </w:tbl>
    <w:p>
      <w:pPr>
        <w:pStyle w:val="Heading1"/>
        <w:pageBreakBefore/>
        <w:spacing w:after="150" w:before="300"/>
      </w:pPr>
      <w:r>
        <w:rPr>
          <w:rFonts w:ascii="Arial" w:cs="Arial" w:eastAsia="Arial" w:hAnsi="Arial"/>
          <w:b/>
          <w:bCs/>
          <w:color w:val="1F3864"/>
          <w:sz w:val="28"/>
          <w:szCs w:val="28"/>
        </w:rPr>
        <w:t xml:space="preserve">How to start</w:t>
      </w:r>
    </w:p>
    <w:p>
      <w:pPr>
        <w:pStyle w:val="ListParagraph"/>
        <w:numPr>
          <w:ilvl w:val="0"/>
          <w:numId w:val="3"/>
        </w:numPr>
        <w:spacing w:after="90" w:line="276"/>
      </w:pPr>
      <w:r>
        <w:rPr>
          <w:rFonts w:ascii="Arial" w:cs="Arial" w:eastAsia="Arial" w:hAnsi="Arial"/>
          <w:sz w:val="22"/>
          <w:szCs w:val="22"/>
        </w:rPr>
        <w:t xml:space="preserve">Email Alex Striler at Alex@Ultra4Next.org and tell us your school, your CTE or media program, and roughly how many students you would bring.</w:t>
      </w:r>
    </w:p>
    <w:p>
      <w:pPr>
        <w:pStyle w:val="ListParagraph"/>
        <w:numPr>
          <w:ilvl w:val="0"/>
          <w:numId w:val="3"/>
        </w:numPr>
        <w:spacing w:after="90" w:line="276"/>
      </w:pPr>
      <w:r>
        <w:rPr>
          <w:rFonts w:ascii="Arial" w:cs="Arial" w:eastAsia="Arial" w:hAnsi="Arial"/>
          <w:sz w:val="22"/>
          <w:szCs w:val="22"/>
        </w:rPr>
        <w:t xml:space="preserve">We set up a call with you, Alex, and Shaun Kittrell to answer questions and talk about what your students need.</w:t>
      </w:r>
    </w:p>
    <w:p>
      <w:pPr>
        <w:pStyle w:val="ListParagraph"/>
        <w:numPr>
          <w:ilvl w:val="0"/>
          <w:numId w:val="3"/>
        </w:numPr>
        <w:spacing w:after="90" w:line="276"/>
      </w:pPr>
      <w:r>
        <w:rPr>
          <w:rFonts w:ascii="Arial" w:cs="Arial" w:eastAsia="Arial" w:hAnsi="Arial"/>
          <w:sz w:val="22"/>
          <w:szCs w:val="22"/>
        </w:rPr>
        <w:t xml:space="preserve">Your instructor receives a portal access code and can immediately see the calendar and upcoming dates.</w:t>
      </w:r>
    </w:p>
    <w:p>
      <w:pPr>
        <w:pStyle w:val="ListParagraph"/>
        <w:numPr>
          <w:ilvl w:val="0"/>
          <w:numId w:val="3"/>
        </w:numPr>
        <w:spacing w:after="90" w:line="276"/>
      </w:pPr>
      <w:r>
        <w:rPr>
          <w:rFonts w:ascii="Arial" w:cs="Arial" w:eastAsia="Arial" w:hAnsi="Arial"/>
          <w:sz w:val="22"/>
          <w:szCs w:val="22"/>
        </w:rPr>
        <w:t xml:space="preserve">Run the Student Interest Packet with your students to pick who attends the first trip.</w:t>
      </w:r>
    </w:p>
    <w:p>
      <w:pPr>
        <w:pStyle w:val="ListParagraph"/>
        <w:numPr>
          <w:ilvl w:val="0"/>
          <w:numId w:val="3"/>
        </w:numPr>
        <w:spacing w:after="90" w:line="276"/>
      </w:pPr>
      <w:r>
        <w:rPr>
          <w:rFonts w:ascii="Arial" w:cs="Arial" w:eastAsia="Arial" w:hAnsi="Arial"/>
          <w:sz w:val="22"/>
          <w:szCs w:val="22"/>
        </w:rPr>
        <w:t xml:space="preserve">Accept a date in the portal. Start with one trip and see how it goes before committing to a schedule.</w:t>
      </w:r>
    </w:p>
    <w:p>
      <w:pPr>
        <w:pStyle w:val="Heading1"/>
        <w:spacing w:after="150" w:before="300"/>
      </w:pPr>
      <w:r>
        <w:rPr>
          <w:rFonts w:ascii="Arial" w:cs="Arial" w:eastAsia="Arial" w:hAnsi="Arial"/>
          <w:b/>
          <w:bCs/>
          <w:color w:val="1F3864"/>
          <w:sz w:val="28"/>
          <w:szCs w:val="28"/>
        </w:rPr>
        <w:t xml:space="preserve">Who to contact</w:t>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2100"/>
        <w:gridCol w:w="3900"/>
        <w:gridCol w:w="1800"/>
      </w:tblGrid>
      <w:tr>
        <w:trPr>
          <w:tblHeader/>
        </w:trPr>
        <w:tc>
          <w:tcPr>
            <w:tcW w:type="dxa" w:w="21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Name</w:t>
            </w:r>
          </w:p>
        </w:tc>
        <w:tc>
          <w:tcPr>
            <w:tcW w:type="dxa" w:w="39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Role</w:t>
            </w:r>
          </w:p>
        </w:tc>
        <w:tc>
          <w:tcPr>
            <w:tcW w:type="dxa" w:w="1800"/>
            <w:shd w:fill="1F3864" w:val="clear"/>
            <w:tcMar>
              <w:top w:type="dxa" w:w="70"/>
              <w:left w:type="dxa" w:w="110"/>
              <w:bottom w:type="dxa" w:w="70"/>
              <w:right w:type="dxa" w:w="110"/>
            </w:tcMar>
          </w:tcPr>
          <w:p>
            <w:pPr>
              <w:jc w:val="left"/>
            </w:pPr>
            <w:r>
              <w:rPr>
                <w:rFonts w:ascii="Arial" w:cs="Arial" w:eastAsia="Arial" w:hAnsi="Arial"/>
                <w:b/>
                <w:bCs/>
                <w:color w:val="FFFFFF"/>
                <w:sz w:val="20"/>
                <w:szCs w:val="20"/>
              </w:rPr>
              <w:t xml:space="preserve">Email</w:t>
            </w:r>
          </w:p>
        </w:tc>
      </w:tr>
      <w:tr>
        <w:tc>
          <w:tcPr>
            <w:tcW w:type="dxa" w:w="2100"/>
            <w:tcMar>
              <w:top w:type="dxa" w:w="70"/>
              <w:left w:type="dxa" w:w="110"/>
              <w:bottom w:type="dxa" w:w="70"/>
              <w:right w:type="dxa" w:w="110"/>
            </w:tcMar>
          </w:tcPr>
          <w:p>
            <w:pPr>
              <w:jc w:val="left"/>
            </w:pPr>
            <w:r>
              <w:rPr>
                <w:rFonts w:ascii="Arial" w:cs="Arial" w:eastAsia="Arial" w:hAnsi="Arial"/>
                <w:sz w:val="20"/>
                <w:szCs w:val="20"/>
              </w:rPr>
              <w:t xml:space="preserve">Alex Striler</w:t>
            </w:r>
          </w:p>
        </w:tc>
        <w:tc>
          <w:tcPr>
            <w:tcW w:type="dxa" w:w="3900"/>
            <w:tcMar>
              <w:top w:type="dxa" w:w="70"/>
              <w:left w:type="dxa" w:w="110"/>
              <w:bottom w:type="dxa" w:w="70"/>
              <w:right w:type="dxa" w:w="110"/>
            </w:tcMar>
          </w:tcPr>
          <w:p>
            <w:pPr>
              <w:jc w:val="left"/>
            </w:pPr>
            <w:r>
              <w:rPr>
                <w:rFonts w:ascii="Arial" w:cs="Arial" w:eastAsia="Arial" w:hAnsi="Arial"/>
                <w:sz w:val="20"/>
                <w:szCs w:val="20"/>
              </w:rPr>
              <w:t xml:space="preserve">President</w:t>
            </w:r>
          </w:p>
        </w:tc>
        <w:tc>
          <w:tcPr>
            <w:tcW w:type="dxa" w:w="1800"/>
            <w:tcMar>
              <w:top w:type="dxa" w:w="70"/>
              <w:left w:type="dxa" w:w="110"/>
              <w:bottom w:type="dxa" w:w="70"/>
              <w:right w:type="dxa" w:w="110"/>
            </w:tcMar>
          </w:tcPr>
          <w:p>
            <w:pPr>
              <w:jc w:val="left"/>
            </w:pPr>
            <w:r>
              <w:rPr>
                <w:rFonts w:ascii="Arial" w:cs="Arial" w:eastAsia="Arial" w:hAnsi="Arial"/>
                <w:sz w:val="20"/>
                <w:szCs w:val="20"/>
              </w:rPr>
              <w:t xml:space="preserve">Alex@Ultra4Next.org</w:t>
            </w:r>
          </w:p>
        </w:tc>
      </w:tr>
      <w:tr>
        <w:tc>
          <w:tcPr>
            <w:tcW w:type="dxa" w:w="2100"/>
            <w:shd w:fill="F2F2F2" w:val="clear"/>
            <w:tcMar>
              <w:top w:type="dxa" w:w="70"/>
              <w:left w:type="dxa" w:w="110"/>
              <w:bottom w:type="dxa" w:w="70"/>
              <w:right w:type="dxa" w:w="110"/>
            </w:tcMar>
          </w:tcPr>
          <w:p>
            <w:pPr>
              <w:jc w:val="left"/>
            </w:pPr>
            <w:r>
              <w:rPr>
                <w:rFonts w:ascii="Arial" w:cs="Arial" w:eastAsia="Arial" w:hAnsi="Arial"/>
                <w:sz w:val="20"/>
                <w:szCs w:val="20"/>
              </w:rPr>
              <w:t xml:space="preserve">Dave Cole</w:t>
            </w:r>
          </w:p>
        </w:tc>
        <w:tc>
          <w:tcPr>
            <w:tcW w:type="dxa" w:w="3900"/>
            <w:shd w:fill="F2F2F2" w:val="clear"/>
            <w:tcMar>
              <w:top w:type="dxa" w:w="70"/>
              <w:left w:type="dxa" w:w="110"/>
              <w:bottom w:type="dxa" w:w="70"/>
              <w:right w:type="dxa" w:w="110"/>
            </w:tcMar>
          </w:tcPr>
          <w:p>
            <w:pPr>
              <w:jc w:val="left"/>
            </w:pPr>
            <w:r>
              <w:rPr>
                <w:rFonts w:ascii="Arial" w:cs="Arial" w:eastAsia="Arial" w:hAnsi="Arial"/>
                <w:sz w:val="20"/>
                <w:szCs w:val="20"/>
              </w:rPr>
              <w:t xml:space="preserve">Chairman — Ultra4 Racing / King of the Hammers co-founder</w:t>
            </w:r>
          </w:p>
        </w:tc>
        <w:tc>
          <w:tcPr>
            <w:tcW w:type="dxa" w:w="1800"/>
            <w:shd w:fill="F2F2F2" w:val="clear"/>
            <w:tcMar>
              <w:top w:type="dxa" w:w="70"/>
              <w:left w:type="dxa" w:w="110"/>
              <w:bottom w:type="dxa" w:w="70"/>
              <w:right w:type="dxa" w:w="110"/>
            </w:tcMar>
          </w:tcPr>
          <w:p>
            <w:pPr>
              <w:jc w:val="left"/>
            </w:pPr>
            <w:r>
              <w:rPr>
                <w:rFonts w:ascii="Arial" w:cs="Arial" w:eastAsia="Arial" w:hAnsi="Arial"/>
                <w:sz w:val="20"/>
                <w:szCs w:val="20"/>
              </w:rPr>
              <w:t xml:space="preserve">Dave@Ultra4Next.org</w:t>
            </w:r>
          </w:p>
        </w:tc>
      </w:tr>
      <w:tr>
        <w:tc>
          <w:tcPr>
            <w:tcW w:type="dxa" w:w="2100"/>
            <w:tcMar>
              <w:top w:type="dxa" w:w="70"/>
              <w:left w:type="dxa" w:w="110"/>
              <w:bottom w:type="dxa" w:w="70"/>
              <w:right w:type="dxa" w:w="110"/>
            </w:tcMar>
          </w:tcPr>
          <w:p>
            <w:pPr>
              <w:jc w:val="left"/>
            </w:pPr>
            <w:r>
              <w:rPr>
                <w:rFonts w:ascii="Arial" w:cs="Arial" w:eastAsia="Arial" w:hAnsi="Arial"/>
                <w:sz w:val="20"/>
                <w:szCs w:val="20"/>
              </w:rPr>
              <w:t xml:space="preserve">Shaun Kittrell</w:t>
            </w:r>
          </w:p>
        </w:tc>
        <w:tc>
          <w:tcPr>
            <w:tcW w:type="dxa" w:w="3900"/>
            <w:tcMar>
              <w:top w:type="dxa" w:w="70"/>
              <w:left w:type="dxa" w:w="110"/>
              <w:bottom w:type="dxa" w:w="70"/>
              <w:right w:type="dxa" w:w="110"/>
            </w:tcMar>
          </w:tcPr>
          <w:p>
            <w:pPr>
              <w:jc w:val="left"/>
            </w:pPr>
            <w:r>
              <w:rPr>
                <w:rFonts w:ascii="Arial" w:cs="Arial" w:eastAsia="Arial" w:hAnsi="Arial"/>
                <w:sz w:val="20"/>
                <w:szCs w:val="20"/>
              </w:rPr>
              <w:t xml:space="preserve">Vice Chairman — CTE Automotive Instructor, Silver Valley HS</w:t>
            </w:r>
          </w:p>
        </w:tc>
        <w:tc>
          <w:tcPr>
            <w:tcW w:type="dxa" w:w="1800"/>
            <w:tcMar>
              <w:top w:type="dxa" w:w="70"/>
              <w:left w:type="dxa" w:w="110"/>
              <w:bottom w:type="dxa" w:w="70"/>
              <w:right w:type="dxa" w:w="110"/>
            </w:tcMar>
          </w:tcPr>
          <w:p>
            <w:pPr>
              <w:jc w:val="left"/>
            </w:pPr>
            <w:r>
              <w:rPr>
                <w:rFonts w:ascii="Arial" w:cs="Arial" w:eastAsia="Arial" w:hAnsi="Arial"/>
                <w:sz w:val="20"/>
                <w:szCs w:val="20"/>
              </w:rPr>
              <w:t xml:space="preserve">Shaun@Ultra4Next.org</w:t>
            </w:r>
          </w:p>
        </w:tc>
      </w:tr>
    </w:tbl>
    <w:p>
      <w:pPr>
        <w:spacing w:after="150" w:before="70"/>
      </w:pPr>
      <w:r>
        <w:rPr>
          <w:rFonts w:ascii="Arial" w:cs="Arial" w:eastAsia="Arial" w:hAnsi="Arial"/>
          <w:i/>
          <w:iCs/>
          <w:color w:val="595959"/>
          <w:sz w:val="18"/>
          <w:szCs w:val="18"/>
        </w:rPr>
        <w:t xml:space="preserve">Ultra4Next is an affiliate of the Basin Wide Foundation, a 501(c)(3) public charity, EIN 33-0688147.  ·  ultra4next.net</w:t>
      </w:r>
    </w:p>
    <w:sectPr>
      <w:pgSz w:w="12240" w:h="15840" w:orient="portrait"/>
      <w:pgMar w:top="1152" w:right="1152" w:bottom="1152" w:left="115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20"/>
      </w:pPr>
    </w:lvl>
  </w:abstractNum>
  <w:abstractNum w:abstractNumId="3" w15:restartNumberingAfterBreak="0">
    <w:multiLevelType w:val="hybridMultilevel"/>
    <w:lvl w:ilvl="0" w15:tentative="1">
      <w:start w:val="1"/>
      <w:numFmt w:val="decimal"/>
      <w:lvlText w:val="%1."/>
      <w:lvlJc w:val="left"/>
      <w:pPr>
        <w:ind w:left="440" w:hanging="2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2026-08-20T00:57:56.081Z</dcterms:created>
  <dcterms:modified xsi:type="dcterms:W3CDTF">2026-08-20T00:57:56.082Z</dcterms:modified>
</cp:coreProperties>
</file>

<file path=docProps/custom.xml><?xml version="1.0" encoding="utf-8"?>
<Properties xmlns="http://schemas.openxmlformats.org/officeDocument/2006/custom-properties" xmlns:vt="http://schemas.openxmlformats.org/officeDocument/2006/docPropsVTypes"/>
</file>